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Checklist para integrar detonadores de toma de decisión</w:t>
      </w:r>
    </w:p>
    <w:p w:rsidR="00000000" w:rsidDel="00000000" w:rsidP="00000000" w:rsidRDefault="00000000" w:rsidRPr="00000000" w14:paraId="00000003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300" w:line="42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 libro "Influencia: La psicología de la persuasión" escrito por Robert Cialdini explora los principios y técnicas utilizadas para influir en el comportamiento de las personas. Cialdini identifica los siguientes principios fundamentales, conocidos como "armas de influencia":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3"/>
        </w:numPr>
        <w:spacing w:after="0" w:afterAutospacing="0" w:before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Reciprocidad: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Este principio se basa en la idea de que las personas tienen una fuerte tendencia a devolver los favores y los actos de cortesía. Si alguien nos hace un favor o nos ofrece algo valioso, nos sentimos comprometidos a corresponder de alguna manera. Los profesionales del marketing a menudo utilizan este principio ofreciendo muestras gratuitas, regalos o descuentos para generar una sensación de deuda en las personas.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Escasez: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La escasez se refiere a la percepción de que algo es limitado o difícil de obtener. Las personas tienden a valorar más los objetos o las oportunidades cuando creen que son escasos. Los vendedores utilizan esta estrategia al resaltar la cantidad limitada de un producto o la disponibilidad por tiempo limitado. Esto crea un sentido de urgencia en los consumidores y los impulsa a actuar rápidamente.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Autoridad: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Las personas tienden a obedecer y seguir a aquellos que consideran como figuras de autoridad o expertos en un determinado tema. Cialdini sostiene que estamos condicionados socialmente para responder a la autoridad y que la influencia de la autoridad puede ser utilizada de manera efectiva para persuadir a otros. Los profesionales pueden demostrar su autoridad mediante la presentación de credenciales, títulos, testimonios de expertos o datos científicos.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Coherencia y compromiso: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Las personas tienen un fuerte deseo de ser coherentes en sus pensamientos, creencias y acciones. Una vez que tomamos una decisión o adoptamos una postura, nos sentimos comprometidos a comportarnos de una manera que sea coherente con esa elección. Los vendedores y los persuasores pueden utilizar esta tendencia al obtener pequeños compromisos iniciales y luego aumentar gradualmente las demandas o peticiones.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after="30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Prueba social: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Este principio se basa en el hecho de que las personas a menudo se guían por el comportamiento de los demás cuando están tomando decisiones. Si vemos a otros realizando una determinada acción o comprando un producto, es más probable que lo consideremos como una opción válida. Los testimonios, las opiniones de los clientes y las recomendaciones son ejemplos de cómo se utiliza la prueba social para influir en las decisiones de las personas.</w:t>
      </w:r>
    </w:p>
    <w:p w:rsidR="00000000" w:rsidDel="00000000" w:rsidP="00000000" w:rsidRDefault="00000000" w:rsidRPr="00000000" w14:paraId="0000000A">
      <w:pPr>
        <w:widowControl w:val="0"/>
        <w:spacing w:after="300" w:before="30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300" w:before="300" w:lineRule="auto"/>
        <w:rPr>
          <w:rFonts w:ascii="Roboto" w:cs="Roboto" w:eastAsia="Roboto" w:hAnsi="Robot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300" w:before="30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Ahora es tu turno, elige 3 puntos de la agenda que consideres muy poderosos como armas de influencia o detonadores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de toma de decisión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para aumentar las posibilidades para convertir visitantes a networkers: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1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Reciprocidad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1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Escasez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1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Autoridad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1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Coherencia y compromiso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1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Prueba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05"/>
        <w:gridCol w:w="2895"/>
        <w:tblGridChange w:id="0">
          <w:tblGrid>
            <w:gridCol w:w="6105"/>
            <w:gridCol w:w="28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Momento de la reunión presencial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Arma de influencia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(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detonadores de toma de decisión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Red abierta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Reciprocidad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Bienvenida a Visitantes y Presentación del Equipo de Liderazgo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.97851562500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  <w:t xml:space="preserve">Valor de la semana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Coherencia y compromiso </w:t>
            </w:r>
          </w:p>
        </w:tc>
      </w:tr>
      <w:tr>
        <w:trPr>
          <w:cantSplit w:val="0"/>
          <w:trHeight w:val="452.97851562500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4.Propósito y Visión General de BNI®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Autoridad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Escasez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5.Educación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Reciprocidad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  <w:t xml:space="preserve">Reconocimiento: Anunciar a los Líderes en Networking de BNI®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Prueba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7.Dar la Bienvenida a Miembros Nuevos de la Organización o a los que Renovaron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Prueba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8.Presentación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semanal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Coherencia y compromiso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9.Visitantes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Reciprocidad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Escasez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  <w:t xml:space="preserve">Reporte del Vicepresidente</w:t>
            </w:r>
          </w:p>
          <w:p w:rsidR="00000000" w:rsidDel="00000000" w:rsidP="00000000" w:rsidRDefault="00000000" w:rsidRPr="00000000" w14:paraId="0000002E">
            <w:pPr>
              <w:spacing w:before="120"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VP Presenta el “Reporte PALMS” donde presenta el número de referencias mensuales, el promedio de visitantes mensuales y el total de referencias dadas a la fecha.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Coherencia y compromiso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11.Informe del Comité de Membresía</w:t>
            </w:r>
          </w:p>
          <w:p w:rsidR="00000000" w:rsidDel="00000000" w:rsidP="00000000" w:rsidRDefault="00000000" w:rsidRPr="00000000" w14:paraId="00000031">
            <w:pPr>
              <w:spacing w:before="120" w:line="240" w:lineRule="auto"/>
              <w:jc w:val="both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Este reporte actualiza a los Miembros respecto de las clasificaciones que todavía se necesitan en el Grupo de BNI, solicitudes que hayan quedado pendientes y políticas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12.El Secretario Tesorero anuncia la lista de Oradores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  <w:r w:rsidDel="00000000" w:rsidR="00000000" w:rsidRPr="00000000">
              <w:rPr>
                <w:rtl w:val="0"/>
              </w:rPr>
              <w:t xml:space="preserve">Orador (u oradores) da presentación de 5-10 Minutos.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1.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fff2cc" w:val="clear"/>
              </w:rPr>
            </w:pPr>
            <w:r w:rsidDel="00000000" w:rsidR="00000000" w:rsidRPr="00000000">
              <w:rPr>
                <w:shd w:fill="fff2cc" w:val="clear"/>
                <w:rtl w:val="0"/>
              </w:rPr>
              <w:t xml:space="preserve">14.Referencias y testimonios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(Antes de la rendición de cuentas, Presidencia explica tecnicismos a los/as visitantes)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  <w:shd w:fill="fff2cc" w:val="clear"/>
              </w:rPr>
            </w:pPr>
            <w:r w:rsidDel="00000000" w:rsidR="00000000" w:rsidRPr="00000000">
              <w:rPr>
                <w:shd w:fill="fff2cc" w:val="clear"/>
                <w:rtl w:val="0"/>
              </w:rPr>
              <w:t xml:space="preserve">Coherencia y compromiso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hd w:fill="fff2cc" w:val="clear"/>
              </w:rPr>
            </w:pPr>
            <w:r w:rsidDel="00000000" w:rsidR="00000000" w:rsidRPr="00000000">
              <w:rPr>
                <w:shd w:fill="fff2cc" w:val="clear"/>
                <w:rtl w:val="0"/>
              </w:rPr>
              <w:t xml:space="preserve">Prueba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  <w:r w:rsidDel="00000000" w:rsidR="00000000" w:rsidRPr="00000000">
              <w:rPr>
                <w:rtl w:val="0"/>
              </w:rPr>
              <w:t xml:space="preserve">Verificación de Referencias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Coherencia y compromiso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16.Agradecimiento del Presidente a los Visitantes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Orientación a visitantes  y entrevista (llevada a cabo por el anfitrión de orientación)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Escasez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Coherencia y compromiso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16" w:lineRule="auto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Fuente: Luis Barajas / BNI Jalisco</w:t>
      </w:r>
    </w:p>
    <w:p w:rsidR="00000000" w:rsidDel="00000000" w:rsidP="00000000" w:rsidRDefault="00000000" w:rsidRPr="00000000" w14:paraId="00000046">
      <w:pPr>
        <w:widowControl w:val="0"/>
        <w:spacing w:line="216" w:lineRule="auto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Curso: Sistema de Crecimiento Acelerado</w:t>
      </w:r>
    </w:p>
    <w:p w:rsidR="00000000" w:rsidDel="00000000" w:rsidP="00000000" w:rsidRDefault="00000000" w:rsidRPr="00000000" w14:paraId="00000047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80498" cy="3762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0498" cy="376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righ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